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B600A" w14:paraId="36CEAB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459754" w14:textId="77777777" w:rsidR="005B600A" w:rsidRDefault="0032645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4CB5026" w14:textId="77777777" w:rsidR="005B600A" w:rsidRDefault="00326454">
            <w:pPr>
              <w:spacing w:after="0" w:line="240" w:lineRule="auto"/>
            </w:pPr>
            <w:r>
              <w:t>3025</w:t>
            </w:r>
          </w:p>
        </w:tc>
      </w:tr>
      <w:tr w:rsidR="005B600A" w14:paraId="6B411C6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945F7A" w14:textId="77777777" w:rsidR="005B600A" w:rsidRDefault="0032645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1F9919" w14:textId="77777777" w:rsidR="005B600A" w:rsidRDefault="00326454">
            <w:pPr>
              <w:spacing w:after="0" w:line="240" w:lineRule="auto"/>
            </w:pPr>
            <w:r>
              <w:t>INSTITUT ZA JADRANSKE KULTURE I MELIORACIJU KRŠA</w:t>
            </w:r>
          </w:p>
        </w:tc>
      </w:tr>
      <w:tr w:rsidR="005B600A" w14:paraId="401631C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EAE6AB" w14:textId="77777777" w:rsidR="005B600A" w:rsidRDefault="0032645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DA00CC2" w14:textId="77777777" w:rsidR="005B600A" w:rsidRDefault="00326454">
            <w:pPr>
              <w:spacing w:after="0" w:line="240" w:lineRule="auto"/>
            </w:pPr>
            <w:r>
              <w:t>11</w:t>
            </w:r>
          </w:p>
        </w:tc>
      </w:tr>
    </w:tbl>
    <w:p w14:paraId="2E7FE407" w14:textId="77777777" w:rsidR="005B600A" w:rsidRDefault="00326454">
      <w:r>
        <w:br/>
      </w:r>
    </w:p>
    <w:p w14:paraId="7B5BA061" w14:textId="77777777" w:rsidR="005B600A" w:rsidRDefault="0032645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524A027" w14:textId="77777777" w:rsidR="005B600A" w:rsidRDefault="0032645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920B5D5" w14:textId="77777777" w:rsidR="005B600A" w:rsidRDefault="0032645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6EC9907" w14:textId="77777777" w:rsidR="005B600A" w:rsidRDefault="005B600A"/>
    <w:p w14:paraId="5DB7638E" w14:textId="77777777" w:rsidR="005B600A" w:rsidRDefault="0032645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731966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2E3699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23D9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1940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F05E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A0A7C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103B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7BCE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0FCF9F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5C458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A5C15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B4BB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3E31A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2.627.397,56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C247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3.191.424,30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F3EF8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  <w:tr w:rsidR="005B600A" w14:paraId="356B20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BC2C5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BC579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39ED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2009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2.370.832,14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E64B2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2.730.043,98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9DC7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  <w:tr w:rsidR="005B600A" w14:paraId="64A2EE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15680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05B8C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4C4AF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A113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256.565,42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43CA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461.380,32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8D228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179,8</w:t>
            </w:r>
          </w:p>
        </w:tc>
      </w:tr>
      <w:tr w:rsidR="005B600A" w14:paraId="75CDD0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4027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F003F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93E2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A8F9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C0D48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65F2A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  <w:tr w:rsidR="005B600A" w14:paraId="275B4B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6D2FD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93A68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2836B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87F5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342.554,64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9A317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3.103.329,16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28092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905,9</w:t>
            </w:r>
          </w:p>
        </w:tc>
      </w:tr>
      <w:tr w:rsidR="005B600A" w14:paraId="3EE67A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6FF08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2C45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80A5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B0C8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210.554,64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BDDE0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2.899.779,16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B9D8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1377,2</w:t>
            </w:r>
          </w:p>
        </w:tc>
      </w:tr>
      <w:tr w:rsidR="005B600A" w14:paraId="72E646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35230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4CB3D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5A7CB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2FF45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7E2D2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5435F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600A" w14:paraId="52D68E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8CB4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3AB20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C13C7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F8858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E63A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19C50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600A" w14:paraId="7A8DD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4F653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A80F5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PRIMITAKA OD FINANCIJSKE IMOVINE I </w:t>
            </w:r>
            <w:r>
              <w:rPr>
                <w:b/>
                <w:sz w:val="18"/>
              </w:rPr>
              <w:t>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1F05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D784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BB9E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857D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600A" w14:paraId="62B96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6BF94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06A4F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B0E80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8080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827D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2.438.398,84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C56C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EDF60C3" w14:textId="77777777" w:rsidR="005B600A" w:rsidRDefault="005B600A">
      <w:pPr>
        <w:spacing w:after="0"/>
      </w:pPr>
    </w:p>
    <w:p w14:paraId="5A900D6D" w14:textId="77777777" w:rsidR="005B600A" w:rsidRDefault="00326454">
      <w:pPr>
        <w:jc w:val="both"/>
      </w:pPr>
      <w:r>
        <w:t xml:space="preserve">Ukupni prihodi poslovanja (šifra 6) iznose 3.191.424,30 te se sastoje od: 6361 Tekuće pomoći proračunskim korisnicima iz proračuna koji im nije nadležan 18.950,00; 6391 Tekući prijenosi između proračunskih korisnika istog proračuna 562.817,96; 6393 Tekući </w:t>
      </w:r>
      <w:r>
        <w:t xml:space="preserve">prijenosi između proračunskih korisnika istog proračuna temeljem prijenosa EU sredstava 96.644,85; 6413 Kamate na oročena sredstva i depozite po viđenju 13,44; 6615 Prihodi od pruženih usluga 154.606,81; 6711 Prihodi iz nadležnog proračuna za financiranje </w:t>
      </w:r>
      <w:r>
        <w:t xml:space="preserve">rashoda poslovanja </w:t>
      </w:r>
      <w:r>
        <w:lastRenderedPageBreak/>
        <w:t>2.358.391,24. Ukupni rashodi poslovanja (šifra 3) iznose 2.730.043,98 te se sastoje od: 31 Rashodi za zaposlene 2.295.045,83; 32 Materijalni rashodi 426.336,55; 34 Financijski rashodi 1.649,38; 37 Naknade građanima i kućanstvima na temel</w:t>
      </w:r>
      <w:r>
        <w:t>ju osiguranja i druge naknade 7.012,22. Višak prihoda poslovanja (šifra X001) iznosi 461.380,32. Ukupni prihodi od prodaje nefinancijske imovine (šifra 7) iznose 203.550,00, a odnose se na izvlaštenje i prodaju poljoprivrednog zemljišta Instituta na lokaci</w:t>
      </w:r>
      <w:r>
        <w:t>ji Kaštela HEP-u. Ukupni rashodi za nabavu nefinancijske imovine (šifra 4) iznose 3.103.329,16 i sastoje se od: 4111 Zemljište 3.875,00; 422 Postrojenja i oprema 154.487,54; 4251 Višegodišnji nasadi 11.632,35 (u tijeku je formiranje novog nasada vinove loz</w:t>
      </w:r>
      <w:r>
        <w:t>e); 451 Dodatna ulaganja na građevinskim objektima 2.933.334,27. Manjak prihoda od nefinancijske imovine (šifra Y002) iznosi 2.899.779,16. Manjak prihoda i primitaka (šifra Y005) iznosi 2.438.398,84 te se sastoji od: Manjka prihoda od nefinancijske imovine</w:t>
      </w:r>
      <w:r>
        <w:t xml:space="preserve"> (šifra Y002) u iznosu od 2.899.779,16 umanjenog za Višak prihoda poslovanja (šifra X001) u iznosu od 461.380,32. </w:t>
      </w:r>
    </w:p>
    <w:p w14:paraId="75083874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59D60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AC16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9C78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9959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B7C4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3D6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0980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106E0B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9D9FD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C71F0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BD26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40F4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231.685,83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A669D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F76D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8B5D328" w14:textId="77777777" w:rsidR="005B600A" w:rsidRDefault="005B600A">
      <w:pPr>
        <w:spacing w:after="0"/>
      </w:pPr>
    </w:p>
    <w:p w14:paraId="22729B78" w14:textId="77777777" w:rsidR="005B600A" w:rsidRDefault="00326454">
      <w:r>
        <w:t>U ovom izvještajnom razdoblju nema prihoda, budući je okončana provedba projekata na koje su se odnosili prihodi u izvještajnom razdoblju prethodne godine. </w:t>
      </w:r>
    </w:p>
    <w:p w14:paraId="55C9CE76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29F474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26C7E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8FFA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3A5D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F227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93F5C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0A55C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392B42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0171B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3370F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40288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1EB35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152.685,83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914E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330F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BA924B0" w14:textId="77777777" w:rsidR="005B600A" w:rsidRDefault="005B600A">
      <w:pPr>
        <w:spacing w:after="0"/>
      </w:pPr>
    </w:p>
    <w:p w14:paraId="32F13EDE" w14:textId="77777777" w:rsidR="005B600A" w:rsidRDefault="00326454">
      <w:r>
        <w:t>U ovom izvještajnom razdoblju nema prihoda, budući je okončana provedba projekata na koje su se odnosili prihodi u izvještajnom razdoblju prethodne godine. </w:t>
      </w:r>
    </w:p>
    <w:p w14:paraId="2D7338E1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69865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9E04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E347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FEBA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F926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11AA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7E48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65E045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0F75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CCE85E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B4759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FC1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F171A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6351C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7E909EB" w14:textId="77777777" w:rsidR="005B600A" w:rsidRDefault="005B600A">
      <w:pPr>
        <w:spacing w:after="0"/>
      </w:pPr>
    </w:p>
    <w:p w14:paraId="722E5981" w14:textId="77777777" w:rsidR="005B600A" w:rsidRDefault="00326454">
      <w:r>
        <w:t>U ovom izvještajnom razdoblju nema prihoda, budući je okončana provedba projekata na koje su se odnosili prihodi u izvještajnom razdoblju prethodne godine. </w:t>
      </w:r>
    </w:p>
    <w:p w14:paraId="06404E9D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2049D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4A36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D22AB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7F75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8191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6B34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8D90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5017FE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68341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6238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D3CB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E45E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8.369,20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D0644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61387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37A3B06" w14:textId="77777777" w:rsidR="005B600A" w:rsidRDefault="005B600A">
      <w:pPr>
        <w:spacing w:after="0"/>
      </w:pPr>
    </w:p>
    <w:p w14:paraId="43372A26" w14:textId="77777777" w:rsidR="005B600A" w:rsidRDefault="00326454">
      <w:r>
        <w:t>U ovom izvještajnom razdoblju nema prihoda, budući je okončana provedba projekata na koje su se odnosili prihodi u izvještajnom razdoblju prethodne godine. </w:t>
      </w:r>
    </w:p>
    <w:p w14:paraId="07B945E9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0F235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BB18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605CB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92BB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EE5B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EABD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235B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112ED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5B97D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9C87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BCE06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BABE5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253.884,56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E69CD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562.817,96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DAFD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221,7</w:t>
            </w:r>
          </w:p>
        </w:tc>
      </w:tr>
    </w:tbl>
    <w:p w14:paraId="4CEE2D9F" w14:textId="77777777" w:rsidR="005B600A" w:rsidRDefault="005B600A">
      <w:pPr>
        <w:spacing w:after="0"/>
      </w:pPr>
    </w:p>
    <w:p w14:paraId="6858FBE2" w14:textId="77777777" w:rsidR="005B600A" w:rsidRDefault="00326454">
      <w:r>
        <w:t>U ovom izvještajnom razdoblju su povećani prihodi, budući su sklopljena 4 nova ugovora o provedbi HRZZ projekata na koje se odnose ostvareni prihodi u ovom izvještajnom razdoblju. </w:t>
      </w:r>
    </w:p>
    <w:p w14:paraId="532B476C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6D6B8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FDF9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25AA8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CC9F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C774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885F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8C7F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012917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F5D8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3373D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B1865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3B07C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58.519,96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65E1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96.644,85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35D90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14:paraId="206FFBCE" w14:textId="77777777" w:rsidR="005B600A" w:rsidRDefault="005B600A">
      <w:pPr>
        <w:spacing w:after="0"/>
      </w:pPr>
    </w:p>
    <w:p w14:paraId="031BD9F8" w14:textId="77777777" w:rsidR="005B600A" w:rsidRDefault="00326454">
      <w:r>
        <w:t xml:space="preserve">U ovom izvještajnom razdoblju, u odnosu na izvještajno razdoblje prethodne godine, prihodi su veći zbog financiranja plaća i materijalnih prava zaposlenika za dva nova doktoranda koji su zasnovali radne odnose s Institutom krajem 2024. godine kao i drugih </w:t>
      </w:r>
      <w:r>
        <w:t>planiranih troškova za potrebe provedbe projekata HRZZ-a.</w:t>
      </w:r>
    </w:p>
    <w:p w14:paraId="493EB6DD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556BB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A2A0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C38E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F92E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40028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706F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375D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6E2B18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7F578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0C4F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Kapitalni prijenosi </w:t>
            </w:r>
            <w:r>
              <w:rPr>
                <w:sz w:val="18"/>
              </w:rPr>
              <w:t>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1702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77C8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29.438,12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0248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60357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65A452D" w14:textId="77777777" w:rsidR="005B600A" w:rsidRDefault="005B600A">
      <w:pPr>
        <w:spacing w:after="0"/>
      </w:pPr>
    </w:p>
    <w:p w14:paraId="501C8260" w14:textId="77777777" w:rsidR="005B600A" w:rsidRDefault="00326454">
      <w:r>
        <w:t>U ovom izvještajnom razdoblju nema prihoda, budući je okončana provedba projekata na koje su se odnosili prihodi u izvještajnom razdoblju prethodne godine.</w:t>
      </w:r>
    </w:p>
    <w:p w14:paraId="6D939032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5E5CB5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FC09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BD5B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1BEAB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C780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51FC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FCA9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4E176E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B936C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35FA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9D6E6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5FCBC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1.901.869,78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DA791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2.358.391,24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2356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73E70846" w14:textId="77777777" w:rsidR="005B600A" w:rsidRDefault="005B600A">
      <w:pPr>
        <w:spacing w:after="0"/>
      </w:pPr>
    </w:p>
    <w:p w14:paraId="01354DCF" w14:textId="77777777" w:rsidR="005B600A" w:rsidRDefault="00326454">
      <w:r>
        <w:t>U ovom izvještajnom razdoblju, u odnosu na izvještajno razdoblje prethodne godine, došlo je do povećanja iznosa za plaće zaposlenika Instituta te su obavljene dvije uplate razvojne komponente programskog ugovora Institutu od strane Ministarstva znanosti, o</w:t>
      </w:r>
      <w:r>
        <w:t>brazovanja i mladih. Isto tako, zbog promjena uvedenih od 01.01.2025. godine sredstva nadležnog MZOM-a za izvedbenu komponentu sada se knjiže na konto 671, s naznakom izvora 581 NPOO, dok su prethodnih godina ova sredstva bila evidentirana na kontu 632. Ti</w:t>
      </w:r>
      <w:r>
        <w:t>jekom 2025. godine započela je provedba projekta IRI koji se financira iz sredstava NPOO te su u 2025. godini odobrena 2 ZNS-a te priznati i uplaćeni prihodi na konto 671, s naznakom izvora 581 NPOO. </w:t>
      </w:r>
    </w:p>
    <w:p w14:paraId="373349B6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3AD28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F9CB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BEAE8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F724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F661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032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0D83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7E5EF9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D4CB9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536D6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A39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15DE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1.942.223,79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D1C00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2.295.045,83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7E9B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1C9CA7DB" w14:textId="77777777" w:rsidR="005B600A" w:rsidRDefault="005B600A">
      <w:pPr>
        <w:spacing w:after="0"/>
      </w:pPr>
    </w:p>
    <w:p w14:paraId="40E03FEB" w14:textId="77777777" w:rsidR="005B600A" w:rsidRDefault="00326454">
      <w:r>
        <w:t>U ovom izvještajnom razdoblju, u odnosu na izvještajno razdoblje prethodne godine, došlo je do povećanja rashoda zbog ukidanja konta 193 Kontinuirani rashodi budućih razdoblja i knjiženja 13-te plaće za zaposlenike Instituta te zbog ukupnog povećanja iznos</w:t>
      </w:r>
      <w:r>
        <w:t>a za plaće zaposlenika Instituta.</w:t>
      </w:r>
    </w:p>
    <w:p w14:paraId="1F5799C3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3D583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29ED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45F2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2DB6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77A13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2F03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222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2446AC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CFA2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503E0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dijelovi za tekuće i </w:t>
            </w:r>
            <w:r>
              <w:rPr>
                <w:sz w:val="18"/>
              </w:rPr>
              <w:t>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2AFA0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83B5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9EEA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60EE7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208,2</w:t>
            </w:r>
          </w:p>
        </w:tc>
      </w:tr>
    </w:tbl>
    <w:p w14:paraId="465967F1" w14:textId="77777777" w:rsidR="005B600A" w:rsidRDefault="005B600A">
      <w:pPr>
        <w:spacing w:after="0"/>
      </w:pPr>
    </w:p>
    <w:p w14:paraId="6EF55F04" w14:textId="77777777" w:rsidR="005B600A" w:rsidRDefault="00326454">
      <w:r>
        <w:t>U ovom izvještajnom razdoblju, u odnosu na izvještajno razdoblje prethodne godine, došlo je do povećanja rashoda zbog troškova za tekuće i investicijsko održavanje zgrade Instituta kao i održavanje opreme (materijal i dijelovi) koja se koristi.</w:t>
      </w:r>
    </w:p>
    <w:p w14:paraId="185E0463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</w:t>
      </w:r>
      <w:r>
        <w:rPr>
          <w:sz w:val="28"/>
        </w:rPr>
        <w:t>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55137B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B0E4C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06CA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408F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9F46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2F8F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6609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08E0E9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6B23E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0E2E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D3406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192EF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EC2F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21.255,68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AB6BA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198,7</w:t>
            </w:r>
          </w:p>
        </w:tc>
      </w:tr>
    </w:tbl>
    <w:p w14:paraId="376980A7" w14:textId="77777777" w:rsidR="005B600A" w:rsidRDefault="005B600A">
      <w:pPr>
        <w:spacing w:after="0"/>
      </w:pPr>
    </w:p>
    <w:p w14:paraId="65795B43" w14:textId="77777777" w:rsidR="005B600A" w:rsidRDefault="00326454">
      <w:r>
        <w:lastRenderedPageBreak/>
        <w:t>U ovom izvještajnom razdoblju, u odnosu na izvještajno razdoblje prethodne godine, došlo je do povećanja rashoda zbog povećanja troškova koji se odnose na obvezne i preventivne zdravstvene preglede zaposlenika (sistematski pregledi) i ostale zdravstvene us</w:t>
      </w:r>
      <w:r>
        <w:t>luge.</w:t>
      </w:r>
    </w:p>
    <w:p w14:paraId="021E589A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64A2C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9C00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862D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5FAC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352A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5C14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3C17E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58EF69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1B8CC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B4F0A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3FFCE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9857C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2C56F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16.961,37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CEF90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330,0</w:t>
            </w:r>
          </w:p>
        </w:tc>
      </w:tr>
    </w:tbl>
    <w:p w14:paraId="739C8209" w14:textId="77777777" w:rsidR="005B600A" w:rsidRDefault="005B600A">
      <w:pPr>
        <w:spacing w:after="0"/>
      </w:pPr>
    </w:p>
    <w:p w14:paraId="56358D54" w14:textId="77777777" w:rsidR="005B600A" w:rsidRDefault="00326454">
      <w:r>
        <w:t>U ovom izvještajnom razdoblju, u odnosu na izvještajno razdoblje prethodne godine, došlo je do povećanja rashoda zbog obavljanja pripremnih radnji i aktivnosti vezanih uz digitalizaciju poslovanja Instituta.</w:t>
      </w:r>
    </w:p>
    <w:p w14:paraId="2581A0B7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244D94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5E3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EB76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FC13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4352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6AD7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8B752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4FC9FF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7499E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01F0B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3D15F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4046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9.215,82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9A38E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46B0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</w:tbl>
    <w:p w14:paraId="1352E837" w14:textId="77777777" w:rsidR="005B600A" w:rsidRDefault="005B600A">
      <w:pPr>
        <w:spacing w:after="0"/>
      </w:pPr>
    </w:p>
    <w:p w14:paraId="6EA339E7" w14:textId="77777777" w:rsidR="005B600A" w:rsidRDefault="00326454">
      <w:r>
        <w:t>U ovom izvještajnom razdoblju, u odnosu na izvještajno razdoblje prethodne godine, došlo je do povećanja rashoda, budući je u ljeto 2024. godine Ministarstvo znanosti, obrazovanja i mladih donijelo novu odluku o visini i načinu isplate naknada za rad u upr</w:t>
      </w:r>
      <w:r>
        <w:t>avnim vijećima na temelju koje su povećani iznosi ovih naknada za članove Upravnog vijeća Instituta. </w:t>
      </w:r>
    </w:p>
    <w:p w14:paraId="72598614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294CE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9A41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9569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B639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7E93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C16D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500D0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5B600A" w14:paraId="10C491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50DD8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0D343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5893C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E78BF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B08D5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EBE39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6014CB19" w14:textId="77777777" w:rsidR="005B600A" w:rsidRDefault="005B600A">
      <w:pPr>
        <w:spacing w:after="0"/>
      </w:pPr>
    </w:p>
    <w:p w14:paraId="18C05B98" w14:textId="77777777" w:rsidR="005B600A" w:rsidRDefault="00326454">
      <w:r>
        <w:t>U ovom izvještajnom razdoblju, u odnosu na izvještajno razdoblje prethodne godine, došlo je do povećanja prihoda od prodaje nefinancijske imovine. Ukupni prihodi od prodaje nefinancijske imovine u ovom izvještajnom razdoblju odnose se na prihode od izvlašt</w:t>
      </w:r>
      <w:r>
        <w:t>enja poljoprivrednog zemljišta Instituta od strane HEP-a kao i kupnju poljoprivrednog zemljišta Instituta od strane HEP-a, sve na lokaciji Kaštela.</w:t>
      </w:r>
    </w:p>
    <w:p w14:paraId="165115D1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19738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EAD25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5437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978E8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025DD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950FF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52BF1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033B4F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067EE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01D0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59FD4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17A82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24.738,40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595AF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2.933.334,27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C26DB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56917E5" w14:textId="77777777" w:rsidR="005B600A" w:rsidRDefault="005B600A">
      <w:pPr>
        <w:spacing w:after="0"/>
      </w:pPr>
    </w:p>
    <w:p w14:paraId="7BC65CF8" w14:textId="77777777" w:rsidR="005B600A" w:rsidRDefault="00326454">
      <w:r>
        <w:t xml:space="preserve">U ovom izvještajnom razdoblju, u odnosu na izvještajno razdoblje prethodne godine, došlo je do povećanja rashoda za dodatna ulaganja na nefinancijskoj imovini zbog početka realizacije </w:t>
      </w:r>
      <w:r>
        <w:lastRenderedPageBreak/>
        <w:t>projekta Rekonstrukcija složene građevine Centra za naprednu analitiku i</w:t>
      </w:r>
      <w:r>
        <w:t xml:space="preserve"> podršku razvoju mediteranskih poljoprivrednih proizvoda, na lokaciji </w:t>
      </w:r>
      <w:proofErr w:type="spellStart"/>
      <w:r>
        <w:t>Duilovo</w:t>
      </w:r>
      <w:proofErr w:type="spellEnd"/>
      <w:r>
        <w:t xml:space="preserve"> u Splitu.</w:t>
      </w:r>
    </w:p>
    <w:p w14:paraId="03E99075" w14:textId="77777777" w:rsidR="005B600A" w:rsidRDefault="005B600A"/>
    <w:p w14:paraId="32577D72" w14:textId="77777777" w:rsidR="005B600A" w:rsidRDefault="0032645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17446F1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B600A" w14:paraId="0E127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2852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B482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C5E0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02C87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905CB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012E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6962B4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2C200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898297" w14:textId="77777777" w:rsidR="005B600A" w:rsidRDefault="0032645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3E027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B176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D9F15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238.967,28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CF293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AC42C6" w14:textId="77777777" w:rsidR="005B600A" w:rsidRDefault="005B600A">
      <w:pPr>
        <w:spacing w:after="0"/>
      </w:pPr>
    </w:p>
    <w:p w14:paraId="0D8A5404" w14:textId="77777777" w:rsidR="005B600A" w:rsidRDefault="00326454">
      <w:r>
        <w:t>Na kraju ovog izvještajnog razdoblja proveden je ispravak vrijednosti dugotrajne nefinancijske imovine te je sukladno članku 192. stavku 7. podstavku 3. važećeg Pravilnika o proračunskom računovodstvu i Računskom planu unesen iznos u P-VRIO kao smanjenje.</w:t>
      </w:r>
    </w:p>
    <w:p w14:paraId="0EC5C5C5" w14:textId="77777777" w:rsidR="005B600A" w:rsidRDefault="005B600A"/>
    <w:p w14:paraId="5440BF67" w14:textId="77777777" w:rsidR="005B600A" w:rsidRDefault="0032645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2FBAC08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B600A" w14:paraId="67683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3920A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64906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C384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7F879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41D64" w14:textId="77777777" w:rsidR="005B600A" w:rsidRDefault="003264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600A" w14:paraId="36D905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EA60E" w14:textId="77777777" w:rsidR="005B600A" w:rsidRDefault="005B60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5240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307B2" w14:textId="77777777" w:rsidR="005B600A" w:rsidRDefault="003264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AD629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6B9F6" w14:textId="77777777" w:rsidR="005B600A" w:rsidRDefault="003264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BEB2D3" w14:textId="77777777" w:rsidR="005B600A" w:rsidRDefault="005B600A">
      <w:pPr>
        <w:spacing w:after="0"/>
      </w:pPr>
    </w:p>
    <w:p w14:paraId="34DF3034" w14:textId="77777777" w:rsidR="005B600A" w:rsidRDefault="00326454">
      <w:r>
        <w:t>Na kraju ovog izvještajnog razdoblja Institut nema dospjelih obveza,  budući uredno podmiruje sve svoje obveze do roka dospijeća. </w:t>
      </w:r>
    </w:p>
    <w:p w14:paraId="1BD559CC" w14:textId="77777777" w:rsidR="005B600A" w:rsidRDefault="00326454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62E2AD2A" w14:textId="77777777" w:rsidR="005B600A" w:rsidRDefault="00326454">
      <w:pPr>
        <w:spacing w:line="240" w:lineRule="auto"/>
        <w:jc w:val="both"/>
      </w:pPr>
      <w:r>
        <w:rPr>
          <w:b/>
        </w:rPr>
        <w:t>EU izvještaj</w:t>
      </w:r>
    </w:p>
    <w:p w14:paraId="2D1A1E18" w14:textId="77777777" w:rsidR="005B600A" w:rsidRDefault="00326454">
      <w:r>
        <w:t>EU izvještaj je popunjen sukladno uputama Ministarstva financija iz okružnice dostavljene obveznicima predaje financijskih izvještaja u sustavu proračuna prema novim izvorima financiranja koji se primjenjuju od 01.01.2026. godine.</w:t>
      </w:r>
    </w:p>
    <w:p w14:paraId="5E013F88" w14:textId="77777777" w:rsidR="005B600A" w:rsidRDefault="005B600A"/>
    <w:sectPr w:rsidR="005B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0A"/>
    <w:rsid w:val="00326454"/>
    <w:rsid w:val="005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0AC"/>
  <w15:docId w15:val="{F53ECCF4-4960-4BEC-A302-49F3079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 Stolica</dc:creator>
  <cp:lastModifiedBy>Dajana Stolica</cp:lastModifiedBy>
  <cp:revision>2</cp:revision>
  <dcterms:created xsi:type="dcterms:W3CDTF">2026-02-09T11:30:00Z</dcterms:created>
  <dcterms:modified xsi:type="dcterms:W3CDTF">2026-02-09T11:30:00Z</dcterms:modified>
</cp:coreProperties>
</file>